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2123968911" w:edGrp="everyone"/>
              <w:r w:rsidR="008F76DF">
                <w:rPr>
                  <w:rFonts w:asciiTheme="majorHAnsi" w:hAnsiTheme="majorHAnsi"/>
                  <w:sz w:val="20"/>
                  <w:szCs w:val="20"/>
                </w:rPr>
                <w:t>NHP33 (2015)</w:t>
              </w:r>
              <w:permEnd w:id="2123968911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427175532" w:edGrp="everyone"/>
    <w:p w:rsidR="00AF3758" w:rsidRPr="00592A95" w:rsidRDefault="00575600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328E">
            <w:rPr>
              <w:rFonts w:ascii="MS Gothic" w:eastAsia="MS Gothic" w:hAnsi="MS Gothic" w:hint="eastAsia"/>
            </w:rPr>
            <w:t>☒</w:t>
          </w:r>
        </w:sdtContent>
      </w:sdt>
      <w:permEnd w:id="427175532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146185806" w:edGrp="everyone"/>
    <w:p w:rsidR="001F5E9E" w:rsidRPr="001F5E9E" w:rsidRDefault="00575600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146185806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57560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82447293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8244729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date w:fullDate="2016-01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49123015" w:edGrp="everyone"/>
                <w:r w:rsidR="00613D9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1/25/2016</w:t>
                </w:r>
                <w:permEnd w:id="184912301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575600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212699884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2699884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356133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356133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57560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79740893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9740893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date w:fullDate="2016-01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38433542" w:edGrp="everyone"/>
                <w:r w:rsidR="00613D9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1/25/2016</w:t>
                </w:r>
                <w:permEnd w:id="33843354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57560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21098084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0980848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7365170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73651708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57560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94197988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4197988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6976944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6976944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57560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80126365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0126365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8100171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8100171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57560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7262820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2628203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8031197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80311976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57560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61313304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1313304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0209771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0209771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57560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12704880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2704880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1447002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14470020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257207821" w:edGrp="everyone" w:displacedByCustomXml="prev"/>
        <w:p w:rsidR="006E6FEC" w:rsidRDefault="0023328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Brad Holloway, LCSW</w:t>
          </w:r>
        </w:p>
        <w:permEnd w:id="1257207821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17991200" w:edGrp="everyone" w:displacedByCustomXml="prev"/>
        <w:p w:rsidR="002E3FC9" w:rsidRDefault="00996DD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Replace</w:t>
          </w:r>
          <w:r w:rsidR="00613D9E">
            <w:rPr>
              <w:rFonts w:ascii="Arial" w:hAnsi="Arial" w:cs="Arial"/>
              <w:sz w:val="16"/>
              <w:szCs w:val="16"/>
            </w:rPr>
            <w:t xml:space="preserve"> DPEM 2213 </w:t>
          </w:r>
          <w:r>
            <w:rPr>
              <w:rFonts w:ascii="Arial" w:hAnsi="Arial" w:cs="Arial"/>
              <w:sz w:val="16"/>
              <w:szCs w:val="16"/>
            </w:rPr>
            <w:t xml:space="preserve">with DPEM 1703 </w:t>
          </w:r>
          <w:r w:rsidR="00613D9E">
            <w:rPr>
              <w:rFonts w:ascii="Arial" w:hAnsi="Arial" w:cs="Arial"/>
              <w:sz w:val="16"/>
              <w:szCs w:val="16"/>
            </w:rPr>
            <w:t>as a Core Course</w:t>
          </w:r>
          <w:r>
            <w:rPr>
              <w:rFonts w:ascii="Arial" w:hAnsi="Arial" w:cs="Arial"/>
              <w:sz w:val="16"/>
              <w:szCs w:val="16"/>
            </w:rPr>
            <w:t>.</w:t>
          </w:r>
        </w:p>
        <w:permEnd w:id="117991200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6-01-25T00:00:00Z">
          <w:dateFormat w:val="M/d/yyyy"/>
          <w:lid w:val="en-US"/>
          <w:storeMappedDataAs w:val="dateTime"/>
          <w:calendar w:val="gregorian"/>
        </w:date>
      </w:sdtPr>
      <w:sdtEndPr/>
      <w:sdtContent>
        <w:permStart w:id="987107726" w:edGrp="everyone" w:displacedByCustomXml="prev"/>
        <w:p w:rsidR="002E3FC9" w:rsidRDefault="00613D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1/25/2016</w:t>
          </w:r>
        </w:p>
        <w:permEnd w:id="987107726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898440204" w:edGrp="everyone" w:displacedByCustomXml="prev"/>
        <w:p w:rsidR="002E3FC9" w:rsidRDefault="00613D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DPEM 2213</w:t>
          </w:r>
          <w:r w:rsidR="003111A1">
            <w:rPr>
              <w:rFonts w:ascii="Arial" w:hAnsi="Arial" w:cs="Arial"/>
              <w:sz w:val="20"/>
              <w:szCs w:val="20"/>
            </w:rPr>
            <w:t xml:space="preserve"> was originally</w:t>
          </w:r>
          <w:r>
            <w:rPr>
              <w:rFonts w:ascii="Arial" w:hAnsi="Arial" w:cs="Arial"/>
              <w:sz w:val="20"/>
              <w:szCs w:val="20"/>
            </w:rPr>
            <w:t xml:space="preserve"> one of several Core Hazmat Courses with similar content to others. It was determined that an overload of Hazmat Courses existed and that DPEM 1703 should be made a Core Course and that DPEM 2213 be changed to an elective</w:t>
          </w:r>
          <w:r w:rsidR="00D37B8B">
            <w:rPr>
              <w:rFonts w:ascii="Arial" w:hAnsi="Arial" w:cs="Arial"/>
              <w:sz w:val="20"/>
              <w:szCs w:val="20"/>
            </w:rPr>
            <w:t>.</w:t>
          </w:r>
        </w:p>
        <w:permEnd w:id="898440204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ermStart w:id="1578464426" w:edGrp="everyone" w:displacedByCustomXml="prev"/>
        <w:p w:rsidR="00D5209C" w:rsidRDefault="00D5209C" w:rsidP="009F5734">
          <w:pPr>
            <w:pStyle w:val="Pa246"/>
            <w:spacing w:after="80"/>
            <w:jc w:val="center"/>
            <w:rPr>
              <w:rStyle w:val="A15"/>
            </w:rPr>
          </w:pPr>
          <w:r>
            <w:rPr>
              <w:rStyle w:val="A15"/>
            </w:rPr>
            <w:t>PAGE 307</w:t>
          </w:r>
        </w:p>
        <w:p w:rsidR="00D5209C" w:rsidRPr="00BA4A5C" w:rsidRDefault="00D5209C" w:rsidP="009F5734">
          <w:pPr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Myriad Pro Cond" w:hAnsi="Myriad Pro Cond" w:cs="Myriad Pro Cond"/>
              <w:color w:val="221E1F"/>
              <w:sz w:val="32"/>
              <w:szCs w:val="32"/>
            </w:rPr>
          </w:pPr>
          <w:r w:rsidRPr="00BA4A5C">
            <w:rPr>
              <w:rFonts w:ascii="Myriad Pro Cond" w:hAnsi="Myriad Pro Cond" w:cs="Myriad Pro Cond"/>
              <w:b/>
              <w:bCs/>
              <w:color w:val="221E1F"/>
              <w:sz w:val="32"/>
              <w:szCs w:val="32"/>
            </w:rPr>
            <w:t xml:space="preserve">Major in Disaster Preparedness and Emergency Management </w:t>
          </w:r>
        </w:p>
        <w:p w:rsidR="00D5209C" w:rsidRPr="00BA4A5C" w:rsidRDefault="00D5209C" w:rsidP="009F5734">
          <w:pPr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BA4A5C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Bachelor of Science </w:t>
          </w:r>
        </w:p>
        <w:p w:rsidR="00D5209C" w:rsidRPr="00BA4A5C" w:rsidRDefault="00D5209C" w:rsidP="009F5734">
          <w:pPr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BA4A5C">
            <w:rPr>
              <w:rFonts w:ascii="Arial" w:hAnsi="Arial" w:cs="Arial"/>
              <w:color w:val="221E1F"/>
              <w:sz w:val="16"/>
              <w:szCs w:val="16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96"/>
            <w:gridCol w:w="3096"/>
          </w:tblGrid>
          <w:tr w:rsidR="00D5209C" w:rsidRPr="00BA4A5C" w:rsidTr="009F5734">
            <w:trPr>
              <w:trHeight w:val="111"/>
            </w:trPr>
            <w:tc>
              <w:tcPr>
                <w:tcW w:w="6192" w:type="dxa"/>
                <w:gridSpan w:val="2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BA4A5C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University Requirements: </w:t>
                </w:r>
              </w:p>
            </w:tc>
          </w:tr>
          <w:tr w:rsidR="00D5209C" w:rsidRPr="00BA4A5C" w:rsidTr="009F5734">
            <w:trPr>
              <w:trHeight w:val="79"/>
            </w:trPr>
            <w:tc>
              <w:tcPr>
                <w:tcW w:w="6192" w:type="dxa"/>
                <w:gridSpan w:val="2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See University General Requirements for Baccalaureate degrees (p. 41) </w:t>
                </w:r>
              </w:p>
            </w:tc>
          </w:tr>
          <w:tr w:rsidR="00D5209C" w:rsidRPr="00BA4A5C" w:rsidTr="009F5734">
            <w:trPr>
              <w:trHeight w:val="111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BA4A5C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D5209C" w:rsidRPr="00BA4A5C" w:rsidTr="009F5734">
            <w:trPr>
              <w:trHeight w:val="83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UC 1013, Making Connections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5209C" w:rsidRPr="00BA4A5C" w:rsidTr="009F5734">
            <w:trPr>
              <w:trHeight w:val="111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BA4A5C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D5209C" w:rsidRPr="00BA4A5C" w:rsidTr="009F5734">
            <w:trPr>
              <w:trHeight w:val="656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See General Education Curriculum for Baccalaureate degrees (p. 83) </w:t>
                </w:r>
              </w:p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Students with this major must take the following: </w:t>
                </w:r>
              </w:p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MATH 1023, College Algebra or MATH course that requires MATH 1023 as a prerequisite </w:t>
                </w:r>
              </w:p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Twelve hours of Social Sciences (Required Departmental Gen. Ed. Option) </w:t>
                </w:r>
              </w:p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Students with this major must take the following for AAS degree: </w:t>
                </w:r>
              </w:p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CS 1013, Introduction to Computers </w:t>
                </w:r>
                <w:r w:rsidRPr="00BA4A5C">
                  <w:rPr>
                    <w:rFonts w:ascii="Arial" w:hAnsi="Arial" w:cs="Arial"/>
                    <w:b/>
                    <w:bCs/>
                    <w:i/>
                    <w:iCs/>
                    <w:color w:val="221E1F"/>
                    <w:sz w:val="12"/>
                    <w:szCs w:val="12"/>
                  </w:rPr>
                  <w:t xml:space="preserve">OR </w:t>
                </w:r>
              </w:p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CIT 1503, Microcomputer Applications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35 </w:t>
                </w:r>
              </w:p>
            </w:tc>
          </w:tr>
          <w:tr w:rsidR="00D5209C" w:rsidRPr="00BA4A5C" w:rsidTr="009F5734">
            <w:trPr>
              <w:trHeight w:val="111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BA4A5C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D5209C" w:rsidRPr="00BA4A5C" w:rsidTr="009F5734">
            <w:trPr>
              <w:trHeight w:val="79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DPEM 1101, Introduction to Incident Management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D5209C" w:rsidRPr="00BA4A5C" w:rsidTr="009F5734">
            <w:trPr>
              <w:trHeight w:val="79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DPEM 1111, Introduction to Resource Management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D5209C" w:rsidRPr="00BA4A5C" w:rsidTr="009F5734">
            <w:trPr>
              <w:trHeight w:val="79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DPEM 1121, Introduction to CBRNE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D5209C" w:rsidRPr="00BA4A5C" w:rsidTr="009F5734">
            <w:trPr>
              <w:trHeight w:val="79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20"/>
                  </w:rPr>
                </w:pPr>
                <w:r w:rsidRPr="00BA4A5C">
                  <w:rPr>
                    <w:rFonts w:ascii="Arial" w:hAnsi="Arial" w:cs="Arial"/>
                    <w:b/>
                    <w:sz w:val="24"/>
                    <w:szCs w:val="24"/>
                  </w:rPr>
                  <w:t>REMOVE:</w:t>
                </w:r>
                <w:r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20"/>
                  </w:rPr>
                  <w:t xml:space="preserve">  </w:t>
                </w:r>
                <w:r w:rsidRPr="00BA4A5C">
                  <w:rPr>
                    <w:rFonts w:ascii="Arial" w:hAnsi="Arial" w:cs="Arial"/>
                    <w:b/>
                    <w:strike/>
                    <w:color w:val="FF0000"/>
                    <w:sz w:val="24"/>
                    <w:szCs w:val="24"/>
                  </w:rPr>
                  <w:t>DPEM 2213, Principles of Hazmat Response</w:t>
                </w:r>
                <w:r w:rsidRPr="00BA4A5C"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20"/>
                  </w:rPr>
                </w:pPr>
                <w:r w:rsidRPr="00BA4A5C"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20"/>
                  </w:rPr>
                  <w:t xml:space="preserve">3 </w:t>
                </w:r>
              </w:p>
            </w:tc>
          </w:tr>
          <w:tr w:rsidR="00D5209C" w:rsidRPr="00BA4A5C" w:rsidTr="009F5734">
            <w:trPr>
              <w:trHeight w:val="79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b/>
                    <w:color w:val="221E1F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ADD</w:t>
                </w:r>
                <w:r w:rsidRPr="00BA4A5C">
                  <w:rPr>
                    <w:rFonts w:ascii="Arial" w:hAnsi="Arial" w:cs="Arial"/>
                    <w:b/>
                    <w:sz w:val="24"/>
                    <w:szCs w:val="24"/>
                  </w:rPr>
                  <w:t>: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 DPEM 1703, </w:t>
                </w:r>
                <w:r w:rsidRPr="00E26707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 xml:space="preserve"> </w:t>
                </w:r>
                <w:r w:rsidRPr="00BA4A5C"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>Introduction to Community Emergency Response</w:t>
                </w:r>
              </w:p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DPEM 2223, Hazardous Materials Containment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5209C" w:rsidRPr="00BA4A5C" w:rsidTr="009F5734">
            <w:trPr>
              <w:trHeight w:val="79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lastRenderedPageBreak/>
                  <w:t xml:space="preserve">DPEM 2233, Principles of Healthcare Emergency Management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5209C" w:rsidRPr="00BA4A5C" w:rsidTr="009F5734">
            <w:trPr>
              <w:trHeight w:val="79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DPEM 2303, Responding to Environmental Health Emergencies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5209C" w:rsidRPr="00BA4A5C" w:rsidTr="009F5734">
            <w:trPr>
              <w:trHeight w:val="79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DPEM 2313, Pandemics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5209C" w:rsidRPr="00BA4A5C" w:rsidTr="009F5734">
            <w:trPr>
              <w:trHeight w:val="79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DPEM 2323, Respiratory Protection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5209C" w:rsidRPr="00BA4A5C" w:rsidTr="009F5734">
            <w:trPr>
              <w:trHeight w:val="79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DPEM 2343, Hazardous Materials Technician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5209C" w:rsidRPr="00BA4A5C" w:rsidTr="009F5734">
            <w:trPr>
              <w:trHeight w:val="151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NRS 2353/DPEM 2353, Global Perspectives in Disaster Preparedness </w:t>
                </w:r>
              </w:p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Includes Core Disaster Life Support (CDLS).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5209C" w:rsidRPr="00BA4A5C" w:rsidTr="009F5734">
            <w:trPr>
              <w:trHeight w:val="79"/>
            </w:trPr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DPEM 2363, Fundamentals of CBRNE Crime Scene Management </w:t>
                </w:r>
              </w:p>
            </w:tc>
            <w:tc>
              <w:tcPr>
                <w:tcW w:w="3096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</w:tbl>
        <w:p w:rsidR="00D5209C" w:rsidRPr="00BA4A5C" w:rsidRDefault="00D5209C" w:rsidP="00D5209C"/>
        <w:p w:rsidR="00D5209C" w:rsidRDefault="00D5209C" w:rsidP="00D5209C">
          <w:pPr>
            <w:pStyle w:val="Pa246"/>
            <w:spacing w:after="80"/>
            <w:jc w:val="center"/>
            <w:rPr>
              <w:rStyle w:val="A15"/>
            </w:rPr>
          </w:pPr>
          <w:r>
            <w:rPr>
              <w:rStyle w:val="A15"/>
            </w:rPr>
            <w:t>PAGE 308</w:t>
          </w:r>
        </w:p>
        <w:p w:rsidR="00D5209C" w:rsidRDefault="00D5209C" w:rsidP="00D5209C">
          <w:pPr>
            <w:pStyle w:val="Pa246"/>
            <w:spacing w:after="80"/>
            <w:jc w:val="center"/>
            <w:rPr>
              <w:rFonts w:ascii="Myriad Pro Cond" w:hAnsi="Myriad Pro Cond" w:cs="Myriad Pro Cond"/>
              <w:color w:val="221E1F"/>
              <w:sz w:val="32"/>
              <w:szCs w:val="32"/>
            </w:rPr>
          </w:pPr>
          <w:r>
            <w:rPr>
              <w:rStyle w:val="A15"/>
            </w:rPr>
            <w:t xml:space="preserve">Major in Disaster Preparedness and Emergency Management </w:t>
          </w:r>
        </w:p>
        <w:p w:rsidR="00D5209C" w:rsidRDefault="00D5209C" w:rsidP="00D5209C">
          <w:pPr>
            <w:pStyle w:val="Pa243"/>
            <w:jc w:val="center"/>
            <w:rPr>
              <w:color w:val="221E1F"/>
              <w:sz w:val="16"/>
              <w:szCs w:val="16"/>
            </w:rPr>
          </w:pPr>
          <w:r>
            <w:rPr>
              <w:b/>
              <w:bCs/>
              <w:color w:val="221E1F"/>
              <w:sz w:val="16"/>
              <w:szCs w:val="16"/>
            </w:rPr>
            <w:t xml:space="preserve">Associate of Applied of Science </w:t>
          </w:r>
        </w:p>
        <w:p w:rsidR="00D5209C" w:rsidRDefault="00D5209C" w:rsidP="00D5209C">
          <w:pPr>
            <w:pStyle w:val="Pa246"/>
            <w:spacing w:after="80"/>
            <w:jc w:val="center"/>
            <w:rPr>
              <w:color w:val="221E1F"/>
              <w:sz w:val="16"/>
              <w:szCs w:val="16"/>
            </w:rPr>
          </w:pPr>
          <w:r>
            <w:rPr>
              <w:color w:val="221E1F"/>
              <w:sz w:val="16"/>
              <w:szCs w:val="16"/>
            </w:rPr>
            <w:t xml:space="preserve">A complete degree plan is available at http://registrar.astate.edu/. </w:t>
          </w: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125"/>
            <w:gridCol w:w="3125"/>
          </w:tblGrid>
          <w:tr w:rsidR="00D5209C" w:rsidTr="009F5734">
            <w:trPr>
              <w:trHeight w:val="111"/>
            </w:trPr>
            <w:tc>
              <w:tcPr>
                <w:tcW w:w="6250" w:type="dxa"/>
                <w:gridSpan w:val="2"/>
              </w:tcPr>
              <w:p w:rsidR="00D5209C" w:rsidRDefault="00D5209C" w:rsidP="009F5734">
                <w:pPr>
                  <w:pStyle w:val="Pa2"/>
                  <w:rPr>
                    <w:color w:val="221E1F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University Requirements: </w:t>
                </w:r>
              </w:p>
            </w:tc>
          </w:tr>
          <w:tr w:rsidR="00D5209C" w:rsidTr="009F5734">
            <w:trPr>
              <w:trHeight w:val="79"/>
            </w:trPr>
            <w:tc>
              <w:tcPr>
                <w:tcW w:w="6250" w:type="dxa"/>
                <w:gridSpan w:val="2"/>
              </w:tcPr>
              <w:p w:rsidR="00D5209C" w:rsidRDefault="00D5209C" w:rsidP="009F5734">
                <w:pPr>
                  <w:pStyle w:val="Pa233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See University General Requirements for Associate degrees (p. 40) </w:t>
                </w:r>
              </w:p>
            </w:tc>
          </w:tr>
          <w:tr w:rsidR="00D5209C" w:rsidTr="009F5734">
            <w:trPr>
              <w:trHeight w:val="111"/>
            </w:trPr>
            <w:tc>
              <w:tcPr>
                <w:tcW w:w="3125" w:type="dxa"/>
              </w:tcPr>
              <w:p w:rsidR="00D5209C" w:rsidRDefault="00D5209C" w:rsidP="009F5734">
                <w:pPr>
                  <w:pStyle w:val="Pa232"/>
                  <w:rPr>
                    <w:color w:val="221E1F"/>
                    <w:sz w:val="16"/>
                    <w:szCs w:val="16"/>
                  </w:rPr>
                </w:pPr>
                <w:r>
                  <w:rPr>
                    <w:b/>
                    <w:bCs/>
                    <w:color w:val="221E1F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3125" w:type="dxa"/>
              </w:tcPr>
              <w:p w:rsidR="00D5209C" w:rsidRDefault="00D5209C" w:rsidP="009F5734">
                <w:pPr>
                  <w:pStyle w:val="Pa24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Sem. Hrs. </w:t>
                </w:r>
              </w:p>
            </w:tc>
          </w:tr>
          <w:tr w:rsidR="00D5209C" w:rsidTr="009F5734">
            <w:trPr>
              <w:trHeight w:val="440"/>
            </w:trPr>
            <w:tc>
              <w:tcPr>
                <w:tcW w:w="3125" w:type="dxa"/>
              </w:tcPr>
              <w:p w:rsidR="00D5209C" w:rsidRDefault="00D5209C" w:rsidP="009F5734">
                <w:pPr>
                  <w:pStyle w:val="Pa61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See General Education Curriculum for Associate of Applied Science Degrees (p. 84) </w:t>
                </w:r>
              </w:p>
              <w:p w:rsidR="00D5209C" w:rsidRDefault="00D5209C" w:rsidP="009F5734">
                <w:pPr>
                  <w:pStyle w:val="Pa55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Students with this major must take the following: </w:t>
                </w:r>
              </w:p>
              <w:p w:rsidR="00D5209C" w:rsidRDefault="00D5209C" w:rsidP="009F5734">
                <w:pPr>
                  <w:pStyle w:val="Pa213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  <w:i/>
                    <w:iCs/>
                  </w:rPr>
                  <w:t xml:space="preserve">MATH 1023, College Algebra or MATH course that requires MATH 1023 as a prerequisite </w:t>
                </w:r>
              </w:p>
              <w:p w:rsidR="00D5209C" w:rsidRDefault="00D5209C" w:rsidP="009F5734">
                <w:pPr>
                  <w:pStyle w:val="Pa213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  <w:i/>
                    <w:iCs/>
                  </w:rPr>
                  <w:t xml:space="preserve">One BIOL course and laboratory </w:t>
                </w:r>
                <w:r>
                  <w:rPr>
                    <w:rStyle w:val="A16"/>
                    <w:i/>
                    <w:iCs/>
                  </w:rPr>
                  <w:t xml:space="preserve">OR </w:t>
                </w:r>
              </w:p>
              <w:p w:rsidR="00D5209C" w:rsidRDefault="00D5209C" w:rsidP="009F5734">
                <w:pPr>
                  <w:pStyle w:val="Pa250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  <w:i/>
                    <w:iCs/>
                  </w:rPr>
                  <w:t xml:space="preserve">One PHYS course and laboratory. </w:t>
                </w:r>
              </w:p>
            </w:tc>
            <w:tc>
              <w:tcPr>
                <w:tcW w:w="3125" w:type="dxa"/>
              </w:tcPr>
              <w:p w:rsidR="00D5209C" w:rsidRDefault="00D5209C" w:rsidP="009F5734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19 </w:t>
                </w:r>
              </w:p>
            </w:tc>
          </w:tr>
          <w:tr w:rsidR="00D5209C" w:rsidTr="009F5734">
            <w:trPr>
              <w:trHeight w:val="111"/>
            </w:trPr>
            <w:tc>
              <w:tcPr>
                <w:tcW w:w="3125" w:type="dxa"/>
              </w:tcPr>
              <w:p w:rsidR="00D5209C" w:rsidRDefault="00D5209C" w:rsidP="009F5734">
                <w:pPr>
                  <w:pStyle w:val="Pa259"/>
                  <w:spacing w:after="40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3125" w:type="dxa"/>
              </w:tcPr>
              <w:p w:rsidR="00D5209C" w:rsidRDefault="00D5209C" w:rsidP="009F5734">
                <w:pPr>
                  <w:pStyle w:val="Pa24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Sem. Hrs. </w:t>
                </w:r>
              </w:p>
            </w:tc>
          </w:tr>
          <w:tr w:rsidR="00D5209C" w:rsidTr="009F5734">
            <w:trPr>
              <w:trHeight w:val="79"/>
            </w:trPr>
            <w:tc>
              <w:tcPr>
                <w:tcW w:w="3125" w:type="dxa"/>
              </w:tcPr>
              <w:p w:rsidR="00D5209C" w:rsidRDefault="00D5209C" w:rsidP="009F5734">
                <w:pPr>
                  <w:pStyle w:val="Pa61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DPEM 1101, Introduction to Incident Management </w:t>
                </w:r>
              </w:p>
            </w:tc>
            <w:tc>
              <w:tcPr>
                <w:tcW w:w="3125" w:type="dxa"/>
              </w:tcPr>
              <w:p w:rsidR="00D5209C" w:rsidRDefault="00D5209C" w:rsidP="009F5734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1 </w:t>
                </w:r>
              </w:p>
            </w:tc>
          </w:tr>
          <w:tr w:rsidR="00D5209C" w:rsidTr="009F5734">
            <w:trPr>
              <w:trHeight w:val="79"/>
            </w:trPr>
            <w:tc>
              <w:tcPr>
                <w:tcW w:w="3125" w:type="dxa"/>
              </w:tcPr>
              <w:p w:rsidR="00D5209C" w:rsidRDefault="00D5209C" w:rsidP="009F5734">
                <w:pPr>
                  <w:pStyle w:val="Pa61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DPEM 1111, Introduction to Resource Management </w:t>
                </w:r>
              </w:p>
            </w:tc>
            <w:tc>
              <w:tcPr>
                <w:tcW w:w="3125" w:type="dxa"/>
              </w:tcPr>
              <w:p w:rsidR="00D5209C" w:rsidRDefault="00D5209C" w:rsidP="009F5734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1 </w:t>
                </w:r>
              </w:p>
            </w:tc>
          </w:tr>
          <w:tr w:rsidR="00D5209C" w:rsidTr="009F5734">
            <w:trPr>
              <w:trHeight w:val="79"/>
            </w:trPr>
            <w:tc>
              <w:tcPr>
                <w:tcW w:w="3125" w:type="dxa"/>
              </w:tcPr>
              <w:p w:rsidR="00D5209C" w:rsidRDefault="00D5209C" w:rsidP="009F5734">
                <w:pPr>
                  <w:pStyle w:val="Pa61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DPEM 1121, Introduction to CBRNE </w:t>
                </w:r>
              </w:p>
            </w:tc>
            <w:tc>
              <w:tcPr>
                <w:tcW w:w="3125" w:type="dxa"/>
              </w:tcPr>
              <w:p w:rsidR="00D5209C" w:rsidRDefault="00D5209C" w:rsidP="009F5734">
                <w:pPr>
                  <w:pStyle w:val="Pa24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1 </w:t>
                </w:r>
              </w:p>
            </w:tc>
          </w:tr>
          <w:tr w:rsidR="00D5209C" w:rsidTr="009F5734">
            <w:trPr>
              <w:trHeight w:val="79"/>
            </w:trPr>
            <w:tc>
              <w:tcPr>
                <w:tcW w:w="3125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20"/>
                  </w:rPr>
                </w:pPr>
                <w:r w:rsidRPr="00BA4A5C">
                  <w:rPr>
                    <w:rFonts w:ascii="Arial" w:hAnsi="Arial" w:cs="Arial"/>
                    <w:b/>
                    <w:sz w:val="24"/>
                    <w:szCs w:val="24"/>
                  </w:rPr>
                  <w:t>REMOVE:</w:t>
                </w:r>
                <w:r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20"/>
                  </w:rPr>
                  <w:t xml:space="preserve">  </w:t>
                </w:r>
                <w:r w:rsidRPr="00BA4A5C">
                  <w:rPr>
                    <w:rFonts w:ascii="Arial" w:hAnsi="Arial" w:cs="Arial"/>
                    <w:b/>
                    <w:strike/>
                    <w:color w:val="FF0000"/>
                    <w:sz w:val="24"/>
                    <w:szCs w:val="24"/>
                  </w:rPr>
                  <w:t>DPEM 2213, Principles of Hazmat Response</w:t>
                </w:r>
                <w:r w:rsidRPr="00BA4A5C"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3125" w:type="dxa"/>
              </w:tcPr>
              <w:p w:rsidR="00D5209C" w:rsidRDefault="00D5209C" w:rsidP="009F5734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</w:p>
            </w:tc>
          </w:tr>
          <w:tr w:rsidR="00D5209C" w:rsidTr="009F5734">
            <w:trPr>
              <w:trHeight w:val="79"/>
            </w:trPr>
            <w:tc>
              <w:tcPr>
                <w:tcW w:w="3125" w:type="dxa"/>
              </w:tcPr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b/>
                    <w:color w:val="221E1F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ADD</w:t>
                </w:r>
                <w:r w:rsidRPr="00BA4A5C">
                  <w:rPr>
                    <w:rFonts w:ascii="Arial" w:hAnsi="Arial" w:cs="Arial"/>
                    <w:b/>
                    <w:sz w:val="24"/>
                    <w:szCs w:val="24"/>
                  </w:rPr>
                  <w:t>: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 DPEM 1703, </w:t>
                </w:r>
                <w:r w:rsidRPr="00E26707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 xml:space="preserve"> </w:t>
                </w:r>
                <w:r w:rsidRPr="00BA4A5C"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>Introduction to Community Emergency Response</w:t>
                </w:r>
              </w:p>
              <w:p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BA4A5C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DPEM 2223, Hazardous Materials Containment </w:t>
                </w:r>
              </w:p>
            </w:tc>
            <w:tc>
              <w:tcPr>
                <w:tcW w:w="3125" w:type="dxa"/>
              </w:tcPr>
              <w:p w:rsidR="00D5209C" w:rsidRDefault="00D5209C" w:rsidP="009F5734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3 </w:t>
                </w:r>
              </w:p>
            </w:tc>
          </w:tr>
          <w:tr w:rsidR="00D5209C" w:rsidTr="009F5734">
            <w:trPr>
              <w:trHeight w:val="79"/>
            </w:trPr>
            <w:tc>
              <w:tcPr>
                <w:tcW w:w="3125" w:type="dxa"/>
              </w:tcPr>
              <w:p w:rsidR="00D5209C" w:rsidRDefault="00D5209C" w:rsidP="009F5734">
                <w:pPr>
                  <w:pStyle w:val="Pa61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DPEM 2233, Principles of Healthcare Emergency Management </w:t>
                </w:r>
              </w:p>
            </w:tc>
            <w:tc>
              <w:tcPr>
                <w:tcW w:w="3125" w:type="dxa"/>
              </w:tcPr>
              <w:p w:rsidR="00D5209C" w:rsidRDefault="00D5209C" w:rsidP="009F5734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3 </w:t>
                </w:r>
              </w:p>
            </w:tc>
          </w:tr>
          <w:tr w:rsidR="00D5209C" w:rsidTr="009F5734">
            <w:trPr>
              <w:trHeight w:val="79"/>
            </w:trPr>
            <w:tc>
              <w:tcPr>
                <w:tcW w:w="3125" w:type="dxa"/>
              </w:tcPr>
              <w:p w:rsidR="00D5209C" w:rsidRDefault="00D5209C" w:rsidP="009F5734">
                <w:pPr>
                  <w:pStyle w:val="Pa61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DPEM 2303, Responding to Environmental Health Emergencies </w:t>
                </w:r>
              </w:p>
            </w:tc>
            <w:tc>
              <w:tcPr>
                <w:tcW w:w="3125" w:type="dxa"/>
              </w:tcPr>
              <w:p w:rsidR="00D5209C" w:rsidRDefault="00D5209C" w:rsidP="009F5734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3 </w:t>
                </w:r>
              </w:p>
            </w:tc>
          </w:tr>
          <w:tr w:rsidR="00D5209C" w:rsidTr="009F5734">
            <w:trPr>
              <w:trHeight w:val="79"/>
            </w:trPr>
            <w:tc>
              <w:tcPr>
                <w:tcW w:w="3125" w:type="dxa"/>
              </w:tcPr>
              <w:p w:rsidR="00D5209C" w:rsidRDefault="00D5209C" w:rsidP="009F5734">
                <w:pPr>
                  <w:pStyle w:val="Pa61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DPEM 2313, Pandemics </w:t>
                </w:r>
              </w:p>
            </w:tc>
            <w:tc>
              <w:tcPr>
                <w:tcW w:w="3125" w:type="dxa"/>
              </w:tcPr>
              <w:p w:rsidR="00D5209C" w:rsidRDefault="00D5209C" w:rsidP="009F5734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3 </w:t>
                </w:r>
              </w:p>
            </w:tc>
          </w:tr>
          <w:tr w:rsidR="00D5209C" w:rsidTr="009F5734">
            <w:trPr>
              <w:trHeight w:val="79"/>
            </w:trPr>
            <w:tc>
              <w:tcPr>
                <w:tcW w:w="3125" w:type="dxa"/>
              </w:tcPr>
              <w:p w:rsidR="00D5209C" w:rsidRDefault="00D5209C" w:rsidP="009F5734">
                <w:pPr>
                  <w:pStyle w:val="Pa61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DPEM 2323, Respiratory Protection </w:t>
                </w:r>
              </w:p>
            </w:tc>
            <w:tc>
              <w:tcPr>
                <w:tcW w:w="3125" w:type="dxa"/>
              </w:tcPr>
              <w:p w:rsidR="00D5209C" w:rsidRDefault="00D5209C" w:rsidP="009F5734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3 </w:t>
                </w:r>
              </w:p>
            </w:tc>
          </w:tr>
          <w:tr w:rsidR="00D5209C" w:rsidTr="009F5734">
            <w:trPr>
              <w:trHeight w:val="79"/>
            </w:trPr>
            <w:tc>
              <w:tcPr>
                <w:tcW w:w="3125" w:type="dxa"/>
              </w:tcPr>
              <w:p w:rsidR="00D5209C" w:rsidRDefault="00D5209C" w:rsidP="009F5734">
                <w:pPr>
                  <w:pStyle w:val="Pa61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DPEM 2343, Hazardous Materials Technician </w:t>
                </w:r>
              </w:p>
            </w:tc>
            <w:tc>
              <w:tcPr>
                <w:tcW w:w="3125" w:type="dxa"/>
              </w:tcPr>
              <w:p w:rsidR="00D5209C" w:rsidRDefault="00D5209C" w:rsidP="009F5734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3 </w:t>
                </w:r>
              </w:p>
            </w:tc>
          </w:tr>
          <w:tr w:rsidR="00D5209C" w:rsidTr="009F5734">
            <w:trPr>
              <w:trHeight w:val="151"/>
            </w:trPr>
            <w:tc>
              <w:tcPr>
                <w:tcW w:w="3125" w:type="dxa"/>
              </w:tcPr>
              <w:p w:rsidR="00D5209C" w:rsidRDefault="00D5209C" w:rsidP="009F5734">
                <w:pPr>
                  <w:pStyle w:val="Pa61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NRS 2353/DPEM 2353, Global Perspectives in Disaster Preparedness </w:t>
                </w:r>
              </w:p>
              <w:p w:rsidR="00D5209C" w:rsidRDefault="00D5209C" w:rsidP="009F5734">
                <w:pPr>
                  <w:pStyle w:val="Pa55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  <w:i/>
                    <w:iCs/>
                  </w:rPr>
                  <w:t xml:space="preserve">Includes Core Disaster Life Support (CDLS). </w:t>
                </w:r>
              </w:p>
            </w:tc>
            <w:tc>
              <w:tcPr>
                <w:tcW w:w="3125" w:type="dxa"/>
              </w:tcPr>
              <w:p w:rsidR="00D5209C" w:rsidRDefault="00D5209C" w:rsidP="009F5734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3 </w:t>
                </w:r>
              </w:p>
            </w:tc>
          </w:tr>
          <w:tr w:rsidR="00D5209C" w:rsidTr="009F5734">
            <w:trPr>
              <w:trHeight w:val="79"/>
            </w:trPr>
            <w:tc>
              <w:tcPr>
                <w:tcW w:w="3125" w:type="dxa"/>
              </w:tcPr>
              <w:p w:rsidR="00D5209C" w:rsidRDefault="00D5209C" w:rsidP="00C564CE">
                <w:pPr>
                  <w:pStyle w:val="Pa61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DPEM 2363, Fundamentals of CBRNE Crime Scene </w:t>
                </w:r>
              </w:p>
            </w:tc>
            <w:tc>
              <w:tcPr>
                <w:tcW w:w="3125" w:type="dxa"/>
              </w:tcPr>
              <w:p w:rsidR="00D5209C" w:rsidRDefault="00D5209C" w:rsidP="009F5734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3 </w:t>
                </w:r>
              </w:p>
            </w:tc>
          </w:tr>
          <w:tr w:rsidR="00D5209C" w:rsidTr="00C564CE">
            <w:trPr>
              <w:trHeight w:val="80"/>
            </w:trPr>
            <w:tc>
              <w:tcPr>
                <w:tcW w:w="3125" w:type="dxa"/>
              </w:tcPr>
              <w:p w:rsidR="00D5209C" w:rsidRDefault="00D5209C" w:rsidP="009F5734">
                <w:pPr>
                  <w:pStyle w:val="Pa232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lastRenderedPageBreak/>
                  <w:t xml:space="preserve">Sub-total </w:t>
                </w:r>
              </w:p>
            </w:tc>
            <w:tc>
              <w:tcPr>
                <w:tcW w:w="3125" w:type="dxa"/>
              </w:tcPr>
              <w:p w:rsidR="00D5209C" w:rsidRDefault="00D5209C" w:rsidP="009F5734">
                <w:pPr>
                  <w:pStyle w:val="Pa24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30 </w:t>
                </w:r>
              </w:p>
            </w:tc>
          </w:tr>
        </w:tbl>
        <w:p w:rsidR="00D5209C" w:rsidRDefault="00D5209C" w:rsidP="00D5209C"/>
        <w:p w:rsidR="004E5007" w:rsidRDefault="00575600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578464426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5D" w:rsidRDefault="00C9405D" w:rsidP="00AF3758">
      <w:pPr>
        <w:spacing w:after="0" w:line="240" w:lineRule="auto"/>
      </w:pPr>
      <w:r>
        <w:separator/>
      </w:r>
    </w:p>
  </w:endnote>
  <w:endnote w:type="continuationSeparator" w:id="0">
    <w:p w:rsidR="00C9405D" w:rsidRDefault="00C9405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5D" w:rsidRDefault="00C9405D" w:rsidP="00AF3758">
      <w:pPr>
        <w:spacing w:after="0" w:line="240" w:lineRule="auto"/>
      </w:pPr>
      <w:r>
        <w:separator/>
      </w:r>
    </w:p>
  </w:footnote>
  <w:footnote w:type="continuationSeparator" w:id="0">
    <w:p w:rsidR="00C9405D" w:rsidRDefault="00C9405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00D7D"/>
    <w:rsid w:val="00016FE7"/>
    <w:rsid w:val="000232AB"/>
    <w:rsid w:val="00024BA5"/>
    <w:rsid w:val="00050802"/>
    <w:rsid w:val="00061AC7"/>
    <w:rsid w:val="000627BE"/>
    <w:rsid w:val="000660CD"/>
    <w:rsid w:val="000A7C2E"/>
    <w:rsid w:val="000D06F1"/>
    <w:rsid w:val="000F5FD6"/>
    <w:rsid w:val="00102175"/>
    <w:rsid w:val="00103070"/>
    <w:rsid w:val="0014025C"/>
    <w:rsid w:val="00151451"/>
    <w:rsid w:val="00152424"/>
    <w:rsid w:val="0018269B"/>
    <w:rsid w:val="00185D67"/>
    <w:rsid w:val="001A5DD5"/>
    <w:rsid w:val="001E452E"/>
    <w:rsid w:val="001F1AC7"/>
    <w:rsid w:val="001F5E9E"/>
    <w:rsid w:val="00212A76"/>
    <w:rsid w:val="0022350B"/>
    <w:rsid w:val="002315B0"/>
    <w:rsid w:val="0023328E"/>
    <w:rsid w:val="00254447"/>
    <w:rsid w:val="00261ACE"/>
    <w:rsid w:val="00265C17"/>
    <w:rsid w:val="002776C2"/>
    <w:rsid w:val="002E3FC9"/>
    <w:rsid w:val="003111A1"/>
    <w:rsid w:val="00316A08"/>
    <w:rsid w:val="003328F3"/>
    <w:rsid w:val="00346F5C"/>
    <w:rsid w:val="00362414"/>
    <w:rsid w:val="00374D72"/>
    <w:rsid w:val="00384538"/>
    <w:rsid w:val="0039532B"/>
    <w:rsid w:val="003A05F4"/>
    <w:rsid w:val="003C0ED1"/>
    <w:rsid w:val="003C3312"/>
    <w:rsid w:val="00400712"/>
    <w:rsid w:val="004072F1"/>
    <w:rsid w:val="00463FF4"/>
    <w:rsid w:val="00473252"/>
    <w:rsid w:val="00487771"/>
    <w:rsid w:val="00492F7C"/>
    <w:rsid w:val="004A7706"/>
    <w:rsid w:val="004B4111"/>
    <w:rsid w:val="004E5007"/>
    <w:rsid w:val="004F3C87"/>
    <w:rsid w:val="00504BCC"/>
    <w:rsid w:val="00515205"/>
    <w:rsid w:val="00526B81"/>
    <w:rsid w:val="00575600"/>
    <w:rsid w:val="00584C22"/>
    <w:rsid w:val="00592A95"/>
    <w:rsid w:val="005C290D"/>
    <w:rsid w:val="005E43A8"/>
    <w:rsid w:val="00613D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2600C"/>
    <w:rsid w:val="0073025F"/>
    <w:rsid w:val="0073125A"/>
    <w:rsid w:val="00750AF6"/>
    <w:rsid w:val="007A06B9"/>
    <w:rsid w:val="007A0A24"/>
    <w:rsid w:val="007D42C5"/>
    <w:rsid w:val="007F3B0C"/>
    <w:rsid w:val="008177D5"/>
    <w:rsid w:val="0083170D"/>
    <w:rsid w:val="008666B7"/>
    <w:rsid w:val="008A795D"/>
    <w:rsid w:val="008B6385"/>
    <w:rsid w:val="008C434B"/>
    <w:rsid w:val="008C703B"/>
    <w:rsid w:val="008E6C1C"/>
    <w:rsid w:val="008F76DF"/>
    <w:rsid w:val="00974FF4"/>
    <w:rsid w:val="00995206"/>
    <w:rsid w:val="00996DDC"/>
    <w:rsid w:val="009A0B78"/>
    <w:rsid w:val="009A529F"/>
    <w:rsid w:val="009E1AA5"/>
    <w:rsid w:val="00A01035"/>
    <w:rsid w:val="00A0329C"/>
    <w:rsid w:val="00A16BB1"/>
    <w:rsid w:val="00A34100"/>
    <w:rsid w:val="00A5089E"/>
    <w:rsid w:val="00A52165"/>
    <w:rsid w:val="00A56D36"/>
    <w:rsid w:val="00AB5523"/>
    <w:rsid w:val="00AF3758"/>
    <w:rsid w:val="00AF3C6A"/>
    <w:rsid w:val="00B1628A"/>
    <w:rsid w:val="00B35368"/>
    <w:rsid w:val="00B55AC7"/>
    <w:rsid w:val="00BD2A0D"/>
    <w:rsid w:val="00BE069E"/>
    <w:rsid w:val="00C12816"/>
    <w:rsid w:val="00C132F9"/>
    <w:rsid w:val="00C23CC7"/>
    <w:rsid w:val="00C254FE"/>
    <w:rsid w:val="00C334FF"/>
    <w:rsid w:val="00C564CE"/>
    <w:rsid w:val="00C723B8"/>
    <w:rsid w:val="00C9405D"/>
    <w:rsid w:val="00D0686A"/>
    <w:rsid w:val="00D37B8B"/>
    <w:rsid w:val="00D51205"/>
    <w:rsid w:val="00D5209C"/>
    <w:rsid w:val="00D57716"/>
    <w:rsid w:val="00D654AF"/>
    <w:rsid w:val="00D67AC4"/>
    <w:rsid w:val="00D72E20"/>
    <w:rsid w:val="00D76DEE"/>
    <w:rsid w:val="00D979DD"/>
    <w:rsid w:val="00DA3F9B"/>
    <w:rsid w:val="00DB3983"/>
    <w:rsid w:val="00DB4DCF"/>
    <w:rsid w:val="00DD2A0D"/>
    <w:rsid w:val="00E26707"/>
    <w:rsid w:val="00E45868"/>
    <w:rsid w:val="00E96091"/>
    <w:rsid w:val="00EB4FF5"/>
    <w:rsid w:val="00EC6970"/>
    <w:rsid w:val="00EE55A2"/>
    <w:rsid w:val="00EF2A44"/>
    <w:rsid w:val="00F0330D"/>
    <w:rsid w:val="00F43D3C"/>
    <w:rsid w:val="00F645B5"/>
    <w:rsid w:val="00F75657"/>
    <w:rsid w:val="00F87993"/>
    <w:rsid w:val="00FB00D4"/>
    <w:rsid w:val="00F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9">
    <w:name w:val="Pa399"/>
    <w:basedOn w:val="Normal"/>
    <w:next w:val="Normal"/>
    <w:uiPriority w:val="99"/>
    <w:rsid w:val="0023328E"/>
    <w:pPr>
      <w:autoSpaceDE w:val="0"/>
      <w:autoSpaceDN w:val="0"/>
      <w:adjustRightInd w:val="0"/>
      <w:spacing w:after="0" w:line="241" w:lineRule="atLeas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A1">
    <w:name w:val="A1"/>
    <w:uiPriority w:val="99"/>
    <w:rsid w:val="0023328E"/>
    <w:rPr>
      <w:rFonts w:ascii="Arial" w:hAnsi="Arial" w:cs="Arial"/>
      <w:color w:val="000000"/>
      <w:sz w:val="16"/>
      <w:szCs w:val="16"/>
    </w:rPr>
  </w:style>
  <w:style w:type="paragraph" w:customStyle="1" w:styleId="Pa410">
    <w:name w:val="Pa410"/>
    <w:basedOn w:val="Normal"/>
    <w:next w:val="Normal"/>
    <w:uiPriority w:val="99"/>
    <w:rsid w:val="0023328E"/>
    <w:pPr>
      <w:autoSpaceDE w:val="0"/>
      <w:autoSpaceDN w:val="0"/>
      <w:adjustRightInd w:val="0"/>
      <w:spacing w:after="0" w:line="241" w:lineRule="atLeast"/>
    </w:pPr>
    <w:rPr>
      <w:rFonts w:ascii="Book Antiqua" w:eastAsia="Calibri" w:hAnsi="Book Antiqua" w:cs="Times New Roman"/>
      <w:sz w:val="24"/>
      <w:szCs w:val="24"/>
    </w:rPr>
  </w:style>
  <w:style w:type="paragraph" w:customStyle="1" w:styleId="Pa427">
    <w:name w:val="Pa427"/>
    <w:basedOn w:val="Normal"/>
    <w:next w:val="Normal"/>
    <w:uiPriority w:val="99"/>
    <w:rsid w:val="000F5FD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66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E26707"/>
    <w:rPr>
      <w:rFonts w:ascii="Times New Roman" w:hAnsi="Times New Roman" w:cs="Times New Roman"/>
      <w:i/>
      <w:iCs/>
      <w:color w:val="221E1F"/>
      <w:sz w:val="18"/>
      <w:szCs w:val="18"/>
    </w:rPr>
  </w:style>
  <w:style w:type="paragraph" w:customStyle="1" w:styleId="Pa246">
    <w:name w:val="Pa246"/>
    <w:basedOn w:val="Normal"/>
    <w:next w:val="Normal"/>
    <w:uiPriority w:val="99"/>
    <w:rsid w:val="00E267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5">
    <w:name w:val="A15"/>
    <w:uiPriority w:val="99"/>
    <w:rsid w:val="00E26707"/>
    <w:rPr>
      <w:rFonts w:ascii="Myriad Pro Cond" w:hAnsi="Myriad Pro Cond" w:cs="Myriad Pro Cond"/>
      <w:b/>
      <w:bCs/>
      <w:color w:val="221E1F"/>
      <w:sz w:val="32"/>
      <w:szCs w:val="32"/>
    </w:rPr>
  </w:style>
  <w:style w:type="paragraph" w:customStyle="1" w:styleId="Pa243">
    <w:name w:val="Pa243"/>
    <w:basedOn w:val="Normal"/>
    <w:next w:val="Normal"/>
    <w:uiPriority w:val="99"/>
    <w:rsid w:val="00E267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33">
    <w:name w:val="Pa233"/>
    <w:basedOn w:val="Normal"/>
    <w:next w:val="Normal"/>
    <w:uiPriority w:val="99"/>
    <w:rsid w:val="00E267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E26707"/>
    <w:rPr>
      <w:color w:val="221E1F"/>
      <w:sz w:val="12"/>
      <w:szCs w:val="12"/>
    </w:rPr>
  </w:style>
  <w:style w:type="paragraph" w:customStyle="1" w:styleId="Pa232">
    <w:name w:val="Pa232"/>
    <w:basedOn w:val="Normal"/>
    <w:next w:val="Normal"/>
    <w:uiPriority w:val="99"/>
    <w:rsid w:val="00E267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55">
    <w:name w:val="Pa55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D5209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59">
    <w:name w:val="Pa259"/>
    <w:basedOn w:val="Normal"/>
    <w:next w:val="Normal"/>
    <w:uiPriority w:val="99"/>
    <w:rsid w:val="00D5209C"/>
    <w:pPr>
      <w:autoSpaceDE w:val="0"/>
      <w:autoSpaceDN w:val="0"/>
      <w:adjustRightInd w:val="0"/>
      <w:spacing w:after="0" w:line="161" w:lineRule="atLeas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9">
    <w:name w:val="Pa399"/>
    <w:basedOn w:val="Normal"/>
    <w:next w:val="Normal"/>
    <w:uiPriority w:val="99"/>
    <w:rsid w:val="0023328E"/>
    <w:pPr>
      <w:autoSpaceDE w:val="0"/>
      <w:autoSpaceDN w:val="0"/>
      <w:adjustRightInd w:val="0"/>
      <w:spacing w:after="0" w:line="241" w:lineRule="atLeas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A1">
    <w:name w:val="A1"/>
    <w:uiPriority w:val="99"/>
    <w:rsid w:val="0023328E"/>
    <w:rPr>
      <w:rFonts w:ascii="Arial" w:hAnsi="Arial" w:cs="Arial"/>
      <w:color w:val="000000"/>
      <w:sz w:val="16"/>
      <w:szCs w:val="16"/>
    </w:rPr>
  </w:style>
  <w:style w:type="paragraph" w:customStyle="1" w:styleId="Pa410">
    <w:name w:val="Pa410"/>
    <w:basedOn w:val="Normal"/>
    <w:next w:val="Normal"/>
    <w:uiPriority w:val="99"/>
    <w:rsid w:val="0023328E"/>
    <w:pPr>
      <w:autoSpaceDE w:val="0"/>
      <w:autoSpaceDN w:val="0"/>
      <w:adjustRightInd w:val="0"/>
      <w:spacing w:after="0" w:line="241" w:lineRule="atLeast"/>
    </w:pPr>
    <w:rPr>
      <w:rFonts w:ascii="Book Antiqua" w:eastAsia="Calibri" w:hAnsi="Book Antiqua" w:cs="Times New Roman"/>
      <w:sz w:val="24"/>
      <w:szCs w:val="24"/>
    </w:rPr>
  </w:style>
  <w:style w:type="paragraph" w:customStyle="1" w:styleId="Pa427">
    <w:name w:val="Pa427"/>
    <w:basedOn w:val="Normal"/>
    <w:next w:val="Normal"/>
    <w:uiPriority w:val="99"/>
    <w:rsid w:val="000F5FD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66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E26707"/>
    <w:rPr>
      <w:rFonts w:ascii="Times New Roman" w:hAnsi="Times New Roman" w:cs="Times New Roman"/>
      <w:i/>
      <w:iCs/>
      <w:color w:val="221E1F"/>
      <w:sz w:val="18"/>
      <w:szCs w:val="18"/>
    </w:rPr>
  </w:style>
  <w:style w:type="paragraph" w:customStyle="1" w:styleId="Pa246">
    <w:name w:val="Pa246"/>
    <w:basedOn w:val="Normal"/>
    <w:next w:val="Normal"/>
    <w:uiPriority w:val="99"/>
    <w:rsid w:val="00E267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5">
    <w:name w:val="A15"/>
    <w:uiPriority w:val="99"/>
    <w:rsid w:val="00E26707"/>
    <w:rPr>
      <w:rFonts w:ascii="Myriad Pro Cond" w:hAnsi="Myriad Pro Cond" w:cs="Myriad Pro Cond"/>
      <w:b/>
      <w:bCs/>
      <w:color w:val="221E1F"/>
      <w:sz w:val="32"/>
      <w:szCs w:val="32"/>
    </w:rPr>
  </w:style>
  <w:style w:type="paragraph" w:customStyle="1" w:styleId="Pa243">
    <w:name w:val="Pa243"/>
    <w:basedOn w:val="Normal"/>
    <w:next w:val="Normal"/>
    <w:uiPriority w:val="99"/>
    <w:rsid w:val="00E267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33">
    <w:name w:val="Pa233"/>
    <w:basedOn w:val="Normal"/>
    <w:next w:val="Normal"/>
    <w:uiPriority w:val="99"/>
    <w:rsid w:val="00E267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E26707"/>
    <w:rPr>
      <w:color w:val="221E1F"/>
      <w:sz w:val="12"/>
      <w:szCs w:val="12"/>
    </w:rPr>
  </w:style>
  <w:style w:type="paragraph" w:customStyle="1" w:styleId="Pa232">
    <w:name w:val="Pa232"/>
    <w:basedOn w:val="Normal"/>
    <w:next w:val="Normal"/>
    <w:uiPriority w:val="99"/>
    <w:rsid w:val="00E267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55">
    <w:name w:val="Pa55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D5209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59">
    <w:name w:val="Pa259"/>
    <w:basedOn w:val="Normal"/>
    <w:next w:val="Normal"/>
    <w:uiPriority w:val="99"/>
    <w:rsid w:val="00D5209C"/>
    <w:pPr>
      <w:autoSpaceDE w:val="0"/>
      <w:autoSpaceDN w:val="0"/>
      <w:adjustRightInd w:val="0"/>
      <w:spacing w:after="0" w:line="16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34DC7"/>
    <w:rsid w:val="003B7345"/>
    <w:rsid w:val="004027ED"/>
    <w:rsid w:val="004068B1"/>
    <w:rsid w:val="004149DA"/>
    <w:rsid w:val="00444715"/>
    <w:rsid w:val="004E1A75"/>
    <w:rsid w:val="00573F9F"/>
    <w:rsid w:val="00587536"/>
    <w:rsid w:val="00587585"/>
    <w:rsid w:val="005D35E8"/>
    <w:rsid w:val="005D5D2F"/>
    <w:rsid w:val="00623293"/>
    <w:rsid w:val="00636142"/>
    <w:rsid w:val="006C0858"/>
    <w:rsid w:val="007C3507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405F7"/>
    <w:rsid w:val="00CA02D0"/>
    <w:rsid w:val="00CD4EF8"/>
    <w:rsid w:val="00DE57DB"/>
    <w:rsid w:val="00DE7D26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4592</Characters>
  <Application>Microsoft Office Word</Application>
  <DocSecurity>12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2016-01-27T19:04:00Z</cp:lastPrinted>
  <dcterms:created xsi:type="dcterms:W3CDTF">2016-02-01T16:11:00Z</dcterms:created>
  <dcterms:modified xsi:type="dcterms:W3CDTF">2016-02-01T16:11:00Z</dcterms:modified>
</cp:coreProperties>
</file>